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561716F" w:rsidR="006604E6" w:rsidRDefault="00E90075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Music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3BEDAD56" w:rsidR="006604E6" w:rsidRDefault="00E90075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0A1429A" w:rsidR="006604E6" w:rsidRDefault="00825E8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 w:rsidR="00E90075"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825E8C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6859B483" w14:textId="77777777" w:rsidR="00825E8C" w:rsidRDefault="00825E8C" w:rsidP="00825E8C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3A80DCFE" w:rsidR="006604E6" w:rsidRDefault="00E90075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Music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3F948EE0" w14:textId="77777777" w:rsidR="00B348EC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</w:t>
            </w:r>
          </w:p>
          <w:p w14:paraId="00000047" w14:textId="0D0623B5" w:rsidR="001548B9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pedagogy (planning, delivering instruction, and assessment) for vocal, instrumental, and general music.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54F0EA74" w14:textId="77777777" w:rsidR="00B348EC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</w:t>
            </w:r>
          </w:p>
          <w:p w14:paraId="00000049" w14:textId="5C94D65F" w:rsidR="001548B9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creating, arranging, and improvising.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00B29D85" w14:textId="77777777" w:rsidR="00B348EC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</w:t>
            </w:r>
          </w:p>
          <w:p w14:paraId="0000004B" w14:textId="0A3725D2" w:rsidR="001548B9" w:rsidRDefault="00B348EC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reading and writing music.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16B18BCF" w14:textId="77777777" w:rsidR="009000B8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</w:t>
            </w:r>
          </w:p>
          <w:p w14:paraId="0000004D" w14:textId="545331FD" w:rsidR="006604E6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listening to, analyzing, describing, and performing music.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12B664B4" w14:textId="77777777" w:rsidR="009000B8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42C1751B" w:rsidR="006604E6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has skills in selecting, analyzing, interpreting, presenting, and evaluating music and music performance within the context of music education.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062C8128" w14:textId="77777777" w:rsidR="009000B8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577D8A39" w:rsidR="006604E6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can assess musical knowledge and skills.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64F88B9F" w14:textId="77777777" w:rsidR="009000B8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72709B09" w:rsidR="006604E6" w:rsidRDefault="009000B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PK-12 music demonstrates professional responsibility and reflective practice.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825E8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3B6F9CB4" w14:textId="77777777" w:rsidR="00B348EC" w:rsidRPr="00B348EC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</w:t>
            </w:r>
          </w:p>
          <w:p w14:paraId="00000070" w14:textId="43DB85E6" w:rsidR="006604E6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pedagogy (planning, delivering instruction, and assessment) for vocal, instrumental, and general music.</w:t>
            </w:r>
          </w:p>
          <w:p w14:paraId="1499D178" w14:textId="77777777" w:rsidR="00B348EC" w:rsidRPr="007F1B6D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825E8C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1B436436" w14:textId="77777777" w:rsidR="00B348EC" w:rsidRPr="00B348EC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</w:t>
            </w:r>
          </w:p>
          <w:p w14:paraId="0000007A" w14:textId="03682CF5" w:rsidR="006604E6" w:rsidRPr="007F1B6D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creating, arranging, and improvising.</w:t>
            </w:r>
          </w:p>
          <w:p w14:paraId="0000007B" w14:textId="77777777" w:rsidR="006604E6" w:rsidRPr="007F1B6D" w:rsidRDefault="006604E6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825E8C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43ADBD7D" w14:textId="77777777" w:rsidR="00B348EC" w:rsidRPr="00B348EC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</w:t>
            </w:r>
          </w:p>
          <w:p w14:paraId="06FA4A83" w14:textId="7B4B32A2" w:rsidR="00840183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B348EC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reading and writing music.</w:t>
            </w:r>
          </w:p>
          <w:p w14:paraId="1DFB9026" w14:textId="77777777" w:rsidR="00B348EC" w:rsidRPr="007F1B6D" w:rsidRDefault="00B348EC" w:rsidP="00B348EC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2B1E23D9" w14:textId="77777777" w:rsidR="009000B8" w:rsidRPr="009000B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</w:t>
            </w:r>
          </w:p>
          <w:p w14:paraId="230A3C42" w14:textId="3E521020" w:rsidR="00840183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listening to, analyzing, describing, and performing music.</w:t>
            </w:r>
          </w:p>
          <w:p w14:paraId="0540F104" w14:textId="77777777" w:rsidR="009000B8" w:rsidRPr="007F1B6D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825E8C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9521407" w14:textId="77777777" w:rsidR="00840183" w:rsidRDefault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38A40AC6" w14:textId="77777777" w:rsidTr="003C07CA">
        <w:tc>
          <w:tcPr>
            <w:tcW w:w="9360" w:type="dxa"/>
          </w:tcPr>
          <w:p w14:paraId="33DDC748" w14:textId="77777777" w:rsidR="009000B8" w:rsidRPr="009000B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</w:t>
            </w:r>
          </w:p>
          <w:p w14:paraId="58707563" w14:textId="5E32E5A1" w:rsidR="005C3B0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has skills in selecting, analyzing, interpreting, presenting, and evaluating music and music performance within the context of music education.</w:t>
            </w:r>
          </w:p>
          <w:p w14:paraId="5923C1C1" w14:textId="77777777" w:rsidR="009000B8" w:rsidRPr="007F1B6D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D5438F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1A7269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83E2599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3525FD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8FF38B9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240B84BE" w14:textId="77777777" w:rsidTr="003C07CA">
        <w:tc>
          <w:tcPr>
            <w:tcW w:w="9360" w:type="dxa"/>
          </w:tcPr>
          <w:p w14:paraId="390388D4" w14:textId="77777777" w:rsidR="009000B8" w:rsidRPr="009000B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</w:t>
            </w:r>
          </w:p>
          <w:p w14:paraId="6FFAA3D4" w14:textId="57A4EECD" w:rsidR="005C3B0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can assess musical knowledge and skills.</w:t>
            </w:r>
          </w:p>
          <w:p w14:paraId="1A90D6EC" w14:textId="77777777" w:rsidR="009000B8" w:rsidRPr="007F1B6D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D6BDE18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E343615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lastRenderedPageBreak/>
              <w:t>[enter text here]</w:t>
            </w:r>
          </w:p>
        </w:tc>
      </w:tr>
    </w:tbl>
    <w:p w14:paraId="68F040F1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3F8482C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6F5AC08" w14:textId="77777777" w:rsidR="005C3B08" w:rsidRPr="00AA1246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C3B08" w:rsidRPr="007F1B6D" w14:paraId="4530B37B" w14:textId="77777777" w:rsidTr="003C07CA">
        <w:tc>
          <w:tcPr>
            <w:tcW w:w="9360" w:type="dxa"/>
          </w:tcPr>
          <w:p w14:paraId="0D2B9EC5" w14:textId="77777777" w:rsidR="009000B8" w:rsidRPr="009000B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7: </w:t>
            </w:r>
          </w:p>
          <w:p w14:paraId="6F7E9DF8" w14:textId="5D76A629" w:rsidR="005C3B08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9000B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PK-12 music demonstrates professional responsibility and reflective practice.</w:t>
            </w:r>
          </w:p>
          <w:p w14:paraId="17B8D720" w14:textId="77777777" w:rsidR="009000B8" w:rsidRPr="007F1B6D" w:rsidRDefault="009000B8" w:rsidP="009000B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77F35FE" w14:textId="77777777" w:rsidR="005C3B08" w:rsidRPr="007F1B6D" w:rsidRDefault="005C3B08" w:rsidP="003C07C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64737B4" w14:textId="77777777" w:rsidR="005C3B08" w:rsidRPr="007F1B6D" w:rsidRDefault="005C3B08" w:rsidP="003C07C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8624D46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E3B5D3B" w14:textId="77777777" w:rsidR="005C3B08" w:rsidRPr="00840183" w:rsidRDefault="005C3B08" w:rsidP="005C3B0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16DFB676" w:rsidR="006604E6" w:rsidRDefault="00E900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Music</w:t>
    </w:r>
    <w:r w:rsidR="004440E7">
      <w:rPr>
        <w:b/>
        <w:color w:val="000000"/>
      </w:rPr>
      <w:t xml:space="preserve">, </w:t>
    </w:r>
    <w:r>
      <w:rPr>
        <w:b/>
        <w:color w:val="000000"/>
      </w:rPr>
      <w:t>2016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3470D2"/>
    <w:rsid w:val="00442E2F"/>
    <w:rsid w:val="004440E7"/>
    <w:rsid w:val="004944DB"/>
    <w:rsid w:val="005A5BCA"/>
    <w:rsid w:val="005C3B08"/>
    <w:rsid w:val="006604E6"/>
    <w:rsid w:val="007F1B6D"/>
    <w:rsid w:val="00820AB3"/>
    <w:rsid w:val="00825E8C"/>
    <w:rsid w:val="00840183"/>
    <w:rsid w:val="009000B8"/>
    <w:rsid w:val="00906C59"/>
    <w:rsid w:val="009767DE"/>
    <w:rsid w:val="00AA1246"/>
    <w:rsid w:val="00B348EC"/>
    <w:rsid w:val="00BC5058"/>
    <w:rsid w:val="00BD7C64"/>
    <w:rsid w:val="00BE3BE0"/>
    <w:rsid w:val="00C321D9"/>
    <w:rsid w:val="00C762F4"/>
    <w:rsid w:val="00CB2464"/>
    <w:rsid w:val="00CF68AC"/>
    <w:rsid w:val="00D03356"/>
    <w:rsid w:val="00D13CC9"/>
    <w:rsid w:val="00DD1645"/>
    <w:rsid w:val="00DF5A12"/>
    <w:rsid w:val="00E90075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3</cp:revision>
  <dcterms:created xsi:type="dcterms:W3CDTF">2024-10-16T18:37:00Z</dcterms:created>
  <dcterms:modified xsi:type="dcterms:W3CDTF">2025-04-09T21:56:00Z</dcterms:modified>
</cp:coreProperties>
</file>